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7E" w:rsidRPr="0055775C" w:rsidRDefault="00F3347E" w:rsidP="00F3347E">
      <w:pPr>
        <w:pStyle w:val="Listenabsatz1"/>
        <w:numPr>
          <w:ilvl w:val="0"/>
          <w:numId w:val="0"/>
        </w:numPr>
        <w:spacing w:before="0" w:after="0"/>
        <w:ind w:left="181"/>
        <w:jc w:val="center"/>
        <w:rPr>
          <w:rStyle w:val="Hervorhebung"/>
          <w:rFonts w:asciiTheme="minorHAnsi" w:hAnsiTheme="minorHAnsi" w:cs="Arial"/>
          <w:bCs/>
          <w:color w:val="00946C"/>
          <w:sz w:val="20"/>
          <w:szCs w:val="20"/>
        </w:rPr>
      </w:pPr>
      <w:bookmarkStart w:id="0" w:name="_GoBack"/>
      <w:bookmarkEnd w:id="0"/>
    </w:p>
    <w:p w:rsidR="00C16068" w:rsidRPr="0055775C" w:rsidRDefault="00A7217C" w:rsidP="00F3347E">
      <w:pPr>
        <w:pStyle w:val="Listenabsatz1"/>
        <w:numPr>
          <w:ilvl w:val="0"/>
          <w:numId w:val="0"/>
        </w:numPr>
        <w:spacing w:before="0" w:after="120"/>
        <w:ind w:left="181"/>
        <w:jc w:val="center"/>
        <w:rPr>
          <w:rStyle w:val="Hervorhebung"/>
          <w:rFonts w:asciiTheme="minorHAnsi" w:hAnsiTheme="minorHAnsi" w:cs="Arial"/>
          <w:bCs/>
          <w:color w:val="00946C"/>
          <w:sz w:val="30"/>
          <w:szCs w:val="30"/>
        </w:rPr>
      </w:pPr>
      <w:r w:rsidRPr="0055775C">
        <w:rPr>
          <w:rStyle w:val="Hervorhebung"/>
          <w:rFonts w:asciiTheme="minorHAnsi" w:hAnsiTheme="minorHAnsi" w:cs="Arial"/>
          <w:bCs/>
          <w:color w:val="00946C"/>
          <w:sz w:val="30"/>
          <w:szCs w:val="30"/>
        </w:rPr>
        <w:t xml:space="preserve">Bestätigung </w:t>
      </w:r>
      <w:r w:rsidR="00C16068" w:rsidRPr="0055775C">
        <w:rPr>
          <w:rStyle w:val="Hervorhebung"/>
          <w:rFonts w:asciiTheme="minorHAnsi" w:hAnsiTheme="minorHAnsi" w:cs="Arial"/>
          <w:bCs/>
          <w:color w:val="00946C"/>
          <w:sz w:val="30"/>
          <w:szCs w:val="30"/>
        </w:rPr>
        <w:t>der Qualität</w:t>
      </w:r>
      <w:r w:rsidR="008A3CFD" w:rsidRPr="0055775C">
        <w:rPr>
          <w:rStyle w:val="Hervorhebung"/>
          <w:rFonts w:asciiTheme="minorHAnsi" w:hAnsiTheme="minorHAnsi" w:cs="Arial"/>
          <w:bCs/>
          <w:color w:val="00946C"/>
          <w:sz w:val="30"/>
          <w:szCs w:val="30"/>
        </w:rPr>
        <w:t>s</w:t>
      </w:r>
      <w:r w:rsidR="00C16068" w:rsidRPr="0055775C">
        <w:rPr>
          <w:rStyle w:val="Hervorhebung"/>
          <w:rFonts w:asciiTheme="minorHAnsi" w:hAnsiTheme="minorHAnsi" w:cs="Arial"/>
          <w:bCs/>
          <w:color w:val="00946C"/>
          <w:sz w:val="30"/>
          <w:szCs w:val="30"/>
        </w:rPr>
        <w:t>- und Effizienzanforderungen</w:t>
      </w:r>
    </w:p>
    <w:p w:rsidR="00F3347E" w:rsidRPr="0055775C" w:rsidRDefault="00F3347E" w:rsidP="00706FDF">
      <w:pPr>
        <w:spacing w:before="120" w:after="120" w:line="240" w:lineRule="auto"/>
        <w:rPr>
          <w:rFonts w:cs="Arial"/>
          <w:b/>
          <w:sz w:val="21"/>
          <w:szCs w:val="21"/>
        </w:rPr>
      </w:pPr>
    </w:p>
    <w:p w:rsidR="00D02D2F" w:rsidRPr="0055775C" w:rsidRDefault="00D02D2F" w:rsidP="00706FDF">
      <w:pPr>
        <w:spacing w:before="120" w:after="120" w:line="240" w:lineRule="auto"/>
        <w:rPr>
          <w:rFonts w:cs="Arial"/>
          <w:b/>
          <w:sz w:val="21"/>
          <w:szCs w:val="21"/>
        </w:rPr>
      </w:pPr>
      <w:r w:rsidRPr="0055775C">
        <w:rPr>
          <w:rFonts w:cs="Arial"/>
          <w:b/>
          <w:sz w:val="21"/>
          <w:szCs w:val="21"/>
        </w:rPr>
        <w:t xml:space="preserve">zum Projekt </w:t>
      </w:r>
      <w:r w:rsidRPr="0055775C">
        <w:rPr>
          <w:rFonts w:cs="Arial"/>
          <w:sz w:val="21"/>
          <w:szCs w:val="21"/>
        </w:rPr>
        <w:t>_______________________________</w:t>
      </w:r>
      <w:r w:rsidR="003C37FD" w:rsidRPr="0055775C">
        <w:rPr>
          <w:rFonts w:cs="Arial"/>
          <w:sz w:val="21"/>
          <w:szCs w:val="21"/>
        </w:rPr>
        <w:t>__</w:t>
      </w:r>
      <w:r w:rsidRPr="0055775C">
        <w:rPr>
          <w:rFonts w:cs="Arial"/>
          <w:b/>
          <w:sz w:val="21"/>
          <w:szCs w:val="21"/>
        </w:rPr>
        <w:t xml:space="preserve"> mit insgesamt </w:t>
      </w:r>
      <w:r w:rsidRPr="0055775C">
        <w:rPr>
          <w:rFonts w:cs="Arial"/>
          <w:sz w:val="21"/>
          <w:szCs w:val="21"/>
        </w:rPr>
        <w:t>________</w:t>
      </w:r>
      <w:r w:rsidRPr="0055775C">
        <w:rPr>
          <w:rFonts w:cs="Arial"/>
          <w:b/>
          <w:sz w:val="21"/>
          <w:szCs w:val="21"/>
        </w:rPr>
        <w:t xml:space="preserve"> Lichtpunkten</w:t>
      </w:r>
    </w:p>
    <w:p w:rsidR="00F3347E" w:rsidRPr="0055775C" w:rsidRDefault="00F3347E" w:rsidP="00706FDF">
      <w:pPr>
        <w:spacing w:before="120" w:after="120" w:line="240" w:lineRule="auto"/>
        <w:jc w:val="both"/>
        <w:rPr>
          <w:rFonts w:cs="Arial"/>
          <w:sz w:val="21"/>
          <w:szCs w:val="21"/>
        </w:rPr>
      </w:pPr>
    </w:p>
    <w:p w:rsidR="00530CC6" w:rsidRPr="0055775C" w:rsidRDefault="00530CC6" w:rsidP="00706FDF">
      <w:pPr>
        <w:spacing w:before="120" w:after="120" w:line="240" w:lineRule="auto"/>
        <w:jc w:val="both"/>
        <w:rPr>
          <w:rFonts w:cs="Arial"/>
          <w:sz w:val="21"/>
          <w:szCs w:val="21"/>
        </w:rPr>
      </w:pPr>
      <w:r w:rsidRPr="0055775C">
        <w:rPr>
          <w:rFonts w:cs="Arial"/>
          <w:sz w:val="21"/>
          <w:szCs w:val="21"/>
        </w:rPr>
        <w:t>Eine Beleuchtungsoptimierung kann nur dann gefördert werden</w:t>
      </w:r>
      <w:r w:rsidR="00F3347E" w:rsidRPr="0055775C">
        <w:rPr>
          <w:rFonts w:cs="Arial"/>
          <w:sz w:val="21"/>
          <w:szCs w:val="21"/>
        </w:rPr>
        <w:t>, wenn bestimmte Qualitäts- und</w:t>
      </w:r>
      <w:r w:rsidRPr="0055775C">
        <w:rPr>
          <w:rFonts w:cs="Arial"/>
          <w:sz w:val="21"/>
          <w:szCs w:val="21"/>
        </w:rPr>
        <w:t xml:space="preserve"> Effizienzkriterien eingehalten werden. Folgende Punkte müssen von einem Lichtplaner berechnet und bestätigt werden.</w:t>
      </w:r>
    </w:p>
    <w:p w:rsidR="00530CC6" w:rsidRPr="0055775C" w:rsidRDefault="00DC337C" w:rsidP="00F3347E">
      <w:pPr>
        <w:pStyle w:val="Listenabsatz"/>
        <w:numPr>
          <w:ilvl w:val="0"/>
          <w:numId w:val="3"/>
        </w:numPr>
        <w:spacing w:before="120" w:after="120" w:line="240" w:lineRule="auto"/>
        <w:ind w:left="567" w:hanging="207"/>
        <w:contextualSpacing w:val="0"/>
        <w:jc w:val="both"/>
        <w:rPr>
          <w:rFonts w:cs="Arial"/>
          <w:sz w:val="21"/>
          <w:szCs w:val="21"/>
        </w:rPr>
      </w:pPr>
      <w:r w:rsidRPr="0055775C">
        <w:rPr>
          <w:rFonts w:cs="Arial"/>
          <w:sz w:val="21"/>
          <w:szCs w:val="21"/>
        </w:rPr>
        <w:t>Aus energetischen Gründen ist</w:t>
      </w:r>
      <w:r w:rsidR="00530CC6" w:rsidRPr="0055775C">
        <w:rPr>
          <w:rFonts w:cs="Arial"/>
          <w:sz w:val="21"/>
          <w:szCs w:val="21"/>
        </w:rPr>
        <w:t xml:space="preserve"> der</w:t>
      </w:r>
      <w:r w:rsidR="007D6DD0" w:rsidRPr="0055775C">
        <w:rPr>
          <w:rFonts w:cs="Arial"/>
          <w:sz w:val="21"/>
          <w:szCs w:val="21"/>
        </w:rPr>
        <w:t xml:space="preserve"> Energieeffizienzfaktor</w:t>
      </w:r>
      <w:r w:rsidR="00760A08" w:rsidRPr="0055775C">
        <w:rPr>
          <w:rFonts w:cs="Arial"/>
          <w:sz w:val="21"/>
          <w:szCs w:val="21"/>
        </w:rPr>
        <w:t xml:space="preserve"> </w:t>
      </w:r>
      <w:r w:rsidR="00530CC6" w:rsidRPr="0055775C">
        <w:rPr>
          <w:rFonts w:cs="Arial"/>
          <w:sz w:val="21"/>
          <w:szCs w:val="21"/>
        </w:rPr>
        <w:t xml:space="preserve"> </w:t>
      </w:r>
      <w:r w:rsidR="00530CC6" w:rsidRPr="0055775C">
        <w:rPr>
          <w:rFonts w:cs="Arial"/>
          <w:b/>
          <w:sz w:val="21"/>
          <w:szCs w:val="21"/>
        </w:rPr>
        <w:t>EEF</w:t>
      </w:r>
      <w:r w:rsidR="007D6DD0" w:rsidRPr="0055775C">
        <w:rPr>
          <w:rStyle w:val="Funotenzeichen"/>
          <w:rFonts w:cs="Arial"/>
          <w:b/>
          <w:sz w:val="21"/>
          <w:szCs w:val="21"/>
        </w:rPr>
        <w:footnoteReference w:id="1"/>
      </w:r>
      <w:r w:rsidR="007D6DD0" w:rsidRPr="0055775C">
        <w:rPr>
          <w:rFonts w:cs="Arial"/>
          <w:b/>
          <w:sz w:val="21"/>
          <w:szCs w:val="21"/>
        </w:rPr>
        <w:t xml:space="preserve"> </w:t>
      </w:r>
      <w:r w:rsidR="00530CC6" w:rsidRPr="0055775C">
        <w:rPr>
          <w:rFonts w:cs="Arial"/>
          <w:sz w:val="21"/>
          <w:szCs w:val="21"/>
        </w:rPr>
        <w:t xml:space="preserve"> </w:t>
      </w:r>
      <w:r w:rsidR="007D6DD0" w:rsidRPr="0055775C">
        <w:rPr>
          <w:rFonts w:cs="Arial"/>
          <w:b/>
          <w:sz w:val="21"/>
          <w:szCs w:val="21"/>
        </w:rPr>
        <w:t xml:space="preserve">=    </w:t>
      </w:r>
      <m:oMath>
        <m:f>
          <m:fPr>
            <m:ctrlPr>
              <w:rPr>
                <w:rFonts w:ascii="Cambria Math" w:hAnsi="Cambria Math" w:cs="Arial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1"/>
                <w:szCs w:val="21"/>
              </w:rPr>
              <m:t xml:space="preserve">A* </m:t>
            </m:r>
            <m:bar>
              <m:barPr>
                <m:pos m:val="top"/>
                <m:ctrlPr>
                  <w:rPr>
                    <w:rFonts w:ascii="Cambria Math" w:hAnsi="Cambria Math" w:cs="Arial"/>
                    <w:b/>
                    <w:i/>
                    <w:sz w:val="21"/>
                    <w:szCs w:val="21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1"/>
                    <w:szCs w:val="21"/>
                  </w:rPr>
                  <m:t>E</m:t>
                </m:r>
              </m:e>
            </m:bar>
          </m:num>
          <m:den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1"/>
                    <w:szCs w:val="21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1"/>
                    <w:szCs w:val="21"/>
                  </w:rPr>
                  <m:t>Anl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sz w:val="21"/>
                <w:szCs w:val="21"/>
              </w:rPr>
              <m:t xml:space="preserve">  </m:t>
            </m:r>
          </m:den>
        </m:f>
      </m:oMath>
      <w:r w:rsidR="007D6DD0" w:rsidRPr="0055775C">
        <w:rPr>
          <w:rFonts w:eastAsiaTheme="minorEastAsia" w:cs="Arial"/>
          <w:b/>
          <w:sz w:val="21"/>
          <w:szCs w:val="21"/>
        </w:rPr>
        <w:t xml:space="preserve"> </w:t>
      </w:r>
      <w:r w:rsidR="00530CC6" w:rsidRPr="0055775C">
        <w:rPr>
          <w:rFonts w:cs="Arial"/>
          <w:sz w:val="21"/>
          <w:szCs w:val="21"/>
        </w:rPr>
        <w:t xml:space="preserve">der neuen Anlage </w:t>
      </w:r>
      <w:r w:rsidR="007D6DD0" w:rsidRPr="0055775C">
        <w:rPr>
          <w:rFonts w:cs="Arial"/>
          <w:sz w:val="21"/>
          <w:szCs w:val="21"/>
        </w:rPr>
        <w:t>de</w:t>
      </w:r>
      <w:r w:rsidRPr="0055775C">
        <w:rPr>
          <w:rFonts w:cs="Arial"/>
          <w:sz w:val="21"/>
          <w:szCs w:val="21"/>
        </w:rPr>
        <w:t>utlich höher</w:t>
      </w:r>
      <w:r w:rsidR="0010258B" w:rsidRPr="0055775C">
        <w:rPr>
          <w:rFonts w:cs="Arial"/>
          <w:sz w:val="21"/>
          <w:szCs w:val="21"/>
        </w:rPr>
        <w:t xml:space="preserve">, als </w:t>
      </w:r>
      <w:r w:rsidR="00F3347E" w:rsidRPr="0055775C">
        <w:rPr>
          <w:rFonts w:cs="Arial"/>
          <w:sz w:val="21"/>
          <w:szCs w:val="21"/>
        </w:rPr>
        <w:t>jener</w:t>
      </w:r>
      <w:r w:rsidR="00291483" w:rsidRPr="0055775C">
        <w:rPr>
          <w:rFonts w:cs="Arial"/>
          <w:sz w:val="21"/>
          <w:szCs w:val="21"/>
        </w:rPr>
        <w:t xml:space="preserve"> der a</w:t>
      </w:r>
      <w:r w:rsidRPr="0055775C">
        <w:rPr>
          <w:rFonts w:cs="Arial"/>
          <w:sz w:val="21"/>
          <w:szCs w:val="21"/>
        </w:rPr>
        <w:t>lten Anlage und erreicht</w:t>
      </w:r>
      <w:r w:rsidR="007D6DD0" w:rsidRPr="0055775C">
        <w:rPr>
          <w:rFonts w:cs="Arial"/>
          <w:sz w:val="21"/>
          <w:szCs w:val="21"/>
        </w:rPr>
        <w:t xml:space="preserve"> </w:t>
      </w:r>
      <w:r w:rsidR="00530CC6" w:rsidRPr="0055775C">
        <w:rPr>
          <w:rFonts w:cs="Arial"/>
          <w:b/>
          <w:sz w:val="21"/>
          <w:szCs w:val="21"/>
        </w:rPr>
        <w:t xml:space="preserve">zumindest </w:t>
      </w:r>
      <w:r w:rsidR="00F15103" w:rsidRPr="0055775C">
        <w:rPr>
          <w:rFonts w:cs="Arial"/>
          <w:b/>
          <w:sz w:val="21"/>
          <w:szCs w:val="21"/>
        </w:rPr>
        <w:t xml:space="preserve">den Wert </w:t>
      </w:r>
      <w:r w:rsidRPr="0055775C">
        <w:rPr>
          <w:rFonts w:cs="Arial"/>
          <w:b/>
          <w:sz w:val="21"/>
          <w:szCs w:val="21"/>
        </w:rPr>
        <w:t>23</w:t>
      </w:r>
      <w:r w:rsidR="00530CC6" w:rsidRPr="0055775C">
        <w:rPr>
          <w:rFonts w:cs="Arial"/>
          <w:b/>
          <w:sz w:val="21"/>
          <w:szCs w:val="21"/>
        </w:rPr>
        <w:t>.</w:t>
      </w:r>
    </w:p>
    <w:p w:rsidR="00D85766" w:rsidRPr="0055775C" w:rsidRDefault="00D85766" w:rsidP="00F3347E">
      <w:pPr>
        <w:pStyle w:val="Listenabsatz"/>
        <w:numPr>
          <w:ilvl w:val="0"/>
          <w:numId w:val="3"/>
        </w:numPr>
        <w:spacing w:before="120" w:after="120" w:line="240" w:lineRule="auto"/>
        <w:ind w:left="567" w:hanging="207"/>
        <w:contextualSpacing w:val="0"/>
        <w:jc w:val="both"/>
        <w:rPr>
          <w:rFonts w:cs="Arial"/>
          <w:sz w:val="21"/>
          <w:szCs w:val="21"/>
        </w:rPr>
      </w:pPr>
      <w:r w:rsidRPr="0055775C">
        <w:rPr>
          <w:rFonts w:cs="Arial"/>
          <w:sz w:val="21"/>
          <w:szCs w:val="21"/>
        </w:rPr>
        <w:t xml:space="preserve">Die Qualität der </w:t>
      </w:r>
      <w:r w:rsidR="00D01F88" w:rsidRPr="0055775C">
        <w:rPr>
          <w:rFonts w:cs="Arial"/>
          <w:sz w:val="21"/>
          <w:szCs w:val="21"/>
        </w:rPr>
        <w:t xml:space="preserve">sanierten Straßenbeleuchtung </w:t>
      </w:r>
      <w:r w:rsidR="00DC337C" w:rsidRPr="0055775C">
        <w:rPr>
          <w:rFonts w:cs="Arial"/>
          <w:sz w:val="21"/>
          <w:szCs w:val="21"/>
        </w:rPr>
        <w:t>ist</w:t>
      </w:r>
      <w:r w:rsidR="006376B8" w:rsidRPr="0055775C">
        <w:rPr>
          <w:rFonts w:cs="Arial"/>
          <w:sz w:val="21"/>
          <w:szCs w:val="21"/>
        </w:rPr>
        <w:t xml:space="preserve"> zumindest gleich</w:t>
      </w:r>
      <w:r w:rsidR="00067D06" w:rsidRPr="0055775C">
        <w:rPr>
          <w:rFonts w:cs="Arial"/>
          <w:sz w:val="21"/>
          <w:szCs w:val="21"/>
        </w:rPr>
        <w:t xml:space="preserve"> groß</w:t>
      </w:r>
      <w:r w:rsidR="006376B8" w:rsidRPr="0055775C">
        <w:rPr>
          <w:rFonts w:cs="Arial"/>
          <w:sz w:val="21"/>
          <w:szCs w:val="21"/>
        </w:rPr>
        <w:t xml:space="preserve"> </w:t>
      </w:r>
      <w:r w:rsidR="00760A08" w:rsidRPr="0055775C">
        <w:rPr>
          <w:rFonts w:cs="Arial"/>
          <w:sz w:val="21"/>
          <w:szCs w:val="21"/>
        </w:rPr>
        <w:t xml:space="preserve">wie </w:t>
      </w:r>
      <w:r w:rsidR="006376B8" w:rsidRPr="0055775C">
        <w:rPr>
          <w:rFonts w:cs="Arial"/>
          <w:sz w:val="21"/>
          <w:szCs w:val="21"/>
        </w:rPr>
        <w:t>oder</w:t>
      </w:r>
      <w:r w:rsidRPr="0055775C">
        <w:rPr>
          <w:rFonts w:cs="Arial"/>
          <w:sz w:val="21"/>
          <w:szCs w:val="21"/>
        </w:rPr>
        <w:t xml:space="preserve"> </w:t>
      </w:r>
      <w:r w:rsidR="00DC337C" w:rsidRPr="0055775C">
        <w:rPr>
          <w:rFonts w:cs="Arial"/>
          <w:sz w:val="21"/>
          <w:szCs w:val="21"/>
        </w:rPr>
        <w:t xml:space="preserve">höher </w:t>
      </w:r>
      <w:r w:rsidR="00760A08" w:rsidRPr="0055775C">
        <w:rPr>
          <w:rFonts w:cs="Arial"/>
          <w:sz w:val="21"/>
          <w:szCs w:val="21"/>
        </w:rPr>
        <w:t>als</w:t>
      </w:r>
      <w:r w:rsidR="00DC337C" w:rsidRPr="0055775C">
        <w:rPr>
          <w:rFonts w:cs="Arial"/>
          <w:sz w:val="21"/>
          <w:szCs w:val="21"/>
        </w:rPr>
        <w:t xml:space="preserve"> die der alten Beleuchtung. In diesem Sinn wird</w:t>
      </w:r>
      <w:r w:rsidRPr="0055775C">
        <w:rPr>
          <w:rFonts w:cs="Arial"/>
          <w:sz w:val="21"/>
          <w:szCs w:val="21"/>
        </w:rPr>
        <w:t xml:space="preserve"> die mittlere Beleuchtungsstärke </w:t>
      </w:r>
      <m:oMath>
        <m:bar>
          <m:barPr>
            <m:pos m:val="top"/>
            <m:ctrlPr>
              <w:rPr>
                <w:rFonts w:ascii="Cambria Math" w:hAnsi="Cambria Math" w:cs="Arial"/>
                <w:sz w:val="21"/>
                <w:szCs w:val="21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Arial"/>
                <w:sz w:val="21"/>
                <w:szCs w:val="21"/>
              </w:rPr>
              <m:t>E</m:t>
            </m:r>
          </m:e>
        </m:bar>
      </m:oMath>
      <w:r w:rsidRPr="0055775C">
        <w:rPr>
          <w:rFonts w:cs="Arial"/>
          <w:sz w:val="21"/>
          <w:szCs w:val="21"/>
        </w:rPr>
        <w:t xml:space="preserve"> </w:t>
      </w:r>
      <w:r w:rsidR="00D01F88" w:rsidRPr="0055775C">
        <w:rPr>
          <w:rFonts w:cs="Arial"/>
          <w:sz w:val="21"/>
          <w:szCs w:val="21"/>
        </w:rPr>
        <w:t xml:space="preserve">(gemäß Ö-Norm EN 13201) </w:t>
      </w:r>
      <w:r w:rsidRPr="0055775C">
        <w:rPr>
          <w:rFonts w:cs="Arial"/>
          <w:sz w:val="21"/>
          <w:szCs w:val="21"/>
        </w:rPr>
        <w:t xml:space="preserve">der zu beleuchtenden Fläche </w:t>
      </w:r>
      <m:oMath>
        <m:r>
          <m:rPr>
            <m:sty m:val="p"/>
          </m:rPr>
          <w:rPr>
            <w:rFonts w:ascii="Cambria Math" w:hAnsi="Cambria Math" w:cs="Arial"/>
            <w:sz w:val="21"/>
            <w:szCs w:val="21"/>
          </w:rPr>
          <m:t>A</m:t>
        </m:r>
      </m:oMath>
      <w:r w:rsidR="00760A08" w:rsidRPr="0055775C">
        <w:rPr>
          <w:rFonts w:cs="Arial"/>
          <w:sz w:val="21"/>
          <w:szCs w:val="21"/>
        </w:rPr>
        <w:t xml:space="preserve"> </w:t>
      </w:r>
      <w:r w:rsidRPr="0055775C">
        <w:rPr>
          <w:rFonts w:cs="Arial"/>
          <w:b/>
          <w:sz w:val="21"/>
          <w:szCs w:val="21"/>
        </w:rPr>
        <w:t>nicht</w:t>
      </w:r>
      <w:r w:rsidR="00DC337C" w:rsidRPr="0055775C">
        <w:rPr>
          <w:rFonts w:cs="Arial"/>
          <w:sz w:val="21"/>
          <w:szCs w:val="21"/>
        </w:rPr>
        <w:t xml:space="preserve"> reduziert</w:t>
      </w:r>
      <w:r w:rsidRPr="0055775C">
        <w:rPr>
          <w:rFonts w:cs="Arial"/>
          <w:sz w:val="21"/>
          <w:szCs w:val="21"/>
        </w:rPr>
        <w:t>.</w:t>
      </w:r>
    </w:p>
    <w:p w:rsidR="00291483" w:rsidRPr="0055775C" w:rsidRDefault="00291483" w:rsidP="00F3347E">
      <w:pPr>
        <w:pStyle w:val="Listenabsatz"/>
        <w:numPr>
          <w:ilvl w:val="0"/>
          <w:numId w:val="3"/>
        </w:numPr>
        <w:spacing w:before="120" w:after="120" w:line="240" w:lineRule="auto"/>
        <w:ind w:left="567" w:hanging="207"/>
        <w:contextualSpacing w:val="0"/>
        <w:jc w:val="both"/>
        <w:rPr>
          <w:rFonts w:cs="Arial"/>
          <w:sz w:val="21"/>
          <w:szCs w:val="21"/>
        </w:rPr>
      </w:pPr>
      <w:r w:rsidRPr="0055775C">
        <w:rPr>
          <w:rFonts w:eastAsia="Times New Roman" w:cs="Arial"/>
          <w:color w:val="000000"/>
          <w:sz w:val="21"/>
          <w:szCs w:val="21"/>
        </w:rPr>
        <w:t>Die Glei</w:t>
      </w:r>
      <w:r w:rsidR="00DC337C" w:rsidRPr="0055775C">
        <w:rPr>
          <w:rFonts w:eastAsia="Times New Roman" w:cs="Arial"/>
          <w:color w:val="000000"/>
          <w:sz w:val="21"/>
          <w:szCs w:val="21"/>
        </w:rPr>
        <w:t>chmäßigkeit der Beleuchtung wird</w:t>
      </w:r>
      <w:r w:rsidRPr="0055775C">
        <w:rPr>
          <w:rFonts w:eastAsia="Times New Roman" w:cs="Arial"/>
          <w:color w:val="000000"/>
          <w:sz w:val="21"/>
          <w:szCs w:val="21"/>
        </w:rPr>
        <w:t xml:space="preserve"> gemäß Ö-Norm EN 13201, bzw. zumindest  </w:t>
      </w:r>
      <w:r w:rsidR="00585A9B" w:rsidRPr="0055775C">
        <w:rPr>
          <w:rFonts w:eastAsia="Times New Roman" w:cs="Arial"/>
          <w:color w:val="000000"/>
          <w:sz w:val="21"/>
          <w:szCs w:val="21"/>
        </w:rPr>
        <w:t>gemäß</w:t>
      </w:r>
      <w:r w:rsidR="00585A9B" w:rsidRPr="0055775C">
        <w:rPr>
          <w:rFonts w:cs="Arial"/>
          <w:sz w:val="21"/>
          <w:szCs w:val="21"/>
        </w:rPr>
        <w:t xml:space="preserve"> </w:t>
      </w:r>
      <w:r w:rsidR="006376B8" w:rsidRPr="0055775C">
        <w:rPr>
          <w:rFonts w:cs="Arial"/>
          <w:sz w:val="21"/>
          <w:szCs w:val="21"/>
        </w:rPr>
        <w:t xml:space="preserve">der </w:t>
      </w:r>
      <w:r w:rsidR="006376B8" w:rsidRPr="0055775C">
        <w:rPr>
          <w:rFonts w:eastAsia="Times New Roman" w:cs="Arial"/>
          <w:color w:val="000000"/>
          <w:sz w:val="21"/>
          <w:szCs w:val="21"/>
        </w:rPr>
        <w:t>Formel</w:t>
      </w:r>
      <w:r w:rsidR="00C55095" w:rsidRPr="0055775C">
        <w:rPr>
          <w:rFonts w:eastAsia="Times New Roman" w:cs="Arial"/>
          <w:color w:val="000000"/>
          <w:sz w:val="21"/>
          <w:szCs w:val="21"/>
        </w:rPr>
        <w:t xml:space="preserve"> </w:t>
      </w:r>
      <w:r w:rsidR="00AB22FC" w:rsidRPr="0055775C">
        <w:rPr>
          <w:rFonts w:eastAsia="Times New Roman" w:cs="Arial"/>
          <w:b/>
          <w:color w:val="000000"/>
          <w:sz w:val="21"/>
          <w:szCs w:val="21"/>
        </w:rPr>
        <w:t>U</w:t>
      </w:r>
      <w:r w:rsidR="00585A9B" w:rsidRPr="0055775C">
        <w:rPr>
          <w:rFonts w:eastAsia="Times New Roman" w:cs="Arial"/>
          <w:b/>
          <w:color w:val="000000"/>
          <w:sz w:val="21"/>
          <w:szCs w:val="21"/>
          <w:vertAlign w:val="subscript"/>
        </w:rPr>
        <w:t>0</w:t>
      </w:r>
      <w:r w:rsidR="00585A9B" w:rsidRPr="0055775C">
        <w:rPr>
          <w:rFonts w:eastAsia="Times New Roman" w:cs="Arial"/>
          <w:b/>
          <w:color w:val="000000"/>
          <w:sz w:val="21"/>
          <w:szCs w:val="21"/>
        </w:rPr>
        <w:t xml:space="preserve"> = Emin  /</w:t>
      </w:r>
      <w:r w:rsidR="00585A9B" w:rsidRPr="0055775C">
        <w:rPr>
          <w:rFonts w:eastAsia="Times New Roman" w:cs="Arial"/>
          <w:color w:val="000000"/>
          <w:sz w:val="21"/>
          <w:szCs w:val="21"/>
        </w:rPr>
        <w:t xml:space="preserve">  </w:t>
      </w:r>
      <m:oMath>
        <m:bar>
          <m:barPr>
            <m:pos m:val="top"/>
            <m:ctrlPr>
              <w:rPr>
                <w:rFonts w:ascii="Cambria Math" w:eastAsia="Times New Roman" w:hAnsi="Cambria Math" w:cs="Arial"/>
                <w:color w:val="000000"/>
                <w:sz w:val="21"/>
                <w:szCs w:val="21"/>
              </w:rPr>
            </m:ctrlPr>
          </m:barPr>
          <m:e>
            <m:r>
              <m:rPr>
                <m:sty m:val="b"/>
              </m:rPr>
              <w:rPr>
                <w:rFonts w:ascii="Cambria Math" w:eastAsia="Times New Roman" w:hAnsi="Cambria Math" w:cs="Arial"/>
                <w:color w:val="000000"/>
                <w:sz w:val="21"/>
                <w:szCs w:val="21"/>
              </w:rPr>
              <m:t>E</m:t>
            </m:r>
          </m:e>
        </m:bar>
      </m:oMath>
      <w:r w:rsidR="00AB22FC" w:rsidRPr="0055775C">
        <w:rPr>
          <w:rFonts w:eastAsia="Times New Roman" w:cs="Arial"/>
          <w:color w:val="000000"/>
          <w:sz w:val="21"/>
          <w:szCs w:val="21"/>
        </w:rPr>
        <w:t xml:space="preserve">  </w:t>
      </w:r>
      <w:r w:rsidR="00DC337C" w:rsidRPr="0055775C">
        <w:rPr>
          <w:rFonts w:eastAsia="Times New Roman" w:cs="Arial"/>
          <w:color w:val="000000"/>
          <w:sz w:val="21"/>
          <w:szCs w:val="21"/>
        </w:rPr>
        <w:t>(b</w:t>
      </w:r>
      <w:r w:rsidR="00585A9B" w:rsidRPr="0055775C">
        <w:rPr>
          <w:rFonts w:eastAsia="Times New Roman" w:cs="Arial"/>
          <w:color w:val="000000"/>
          <w:sz w:val="21"/>
          <w:szCs w:val="21"/>
        </w:rPr>
        <w:t>ezogen auf die ge</w:t>
      </w:r>
      <w:r w:rsidR="00AB22FC" w:rsidRPr="0055775C">
        <w:rPr>
          <w:rFonts w:eastAsia="Times New Roman" w:cs="Arial"/>
          <w:color w:val="000000"/>
          <w:sz w:val="21"/>
          <w:szCs w:val="21"/>
        </w:rPr>
        <w:t>samte zu beleuchtende Fläche</w:t>
      </w:r>
      <w:r w:rsidR="004D2E84" w:rsidRPr="0055775C">
        <w:rPr>
          <w:rFonts w:eastAsia="Times New Roman" w:cs="Arial"/>
          <w:color w:val="000000"/>
          <w:sz w:val="21"/>
          <w:szCs w:val="21"/>
          <w:vertAlign w:val="superscript"/>
        </w:rPr>
        <w:footnoteReference w:id="2"/>
      </w:r>
      <w:r w:rsidR="00DC337C" w:rsidRPr="0055775C">
        <w:rPr>
          <w:rFonts w:eastAsia="Times New Roman" w:cs="Arial"/>
          <w:color w:val="000000"/>
          <w:sz w:val="21"/>
          <w:szCs w:val="21"/>
        </w:rPr>
        <w:t>) erreicht</w:t>
      </w:r>
      <w:r w:rsidR="00585A9B" w:rsidRPr="0055775C">
        <w:rPr>
          <w:rFonts w:eastAsia="Times New Roman" w:cs="Arial"/>
          <w:color w:val="000000"/>
          <w:sz w:val="21"/>
          <w:szCs w:val="21"/>
        </w:rPr>
        <w:t xml:space="preserve">. </w:t>
      </w:r>
      <w:r w:rsidR="00F15103" w:rsidRPr="0055775C">
        <w:rPr>
          <w:rFonts w:eastAsia="Times New Roman" w:cs="Arial"/>
          <w:b/>
          <w:color w:val="000000"/>
          <w:sz w:val="21"/>
          <w:szCs w:val="21"/>
        </w:rPr>
        <w:t>U</w:t>
      </w:r>
      <w:r w:rsidR="00F15103" w:rsidRPr="0055775C">
        <w:rPr>
          <w:rFonts w:eastAsia="Times New Roman" w:cs="Arial"/>
          <w:b/>
          <w:color w:val="000000"/>
          <w:sz w:val="21"/>
          <w:szCs w:val="21"/>
          <w:vertAlign w:val="subscript"/>
        </w:rPr>
        <w:t>0</w:t>
      </w:r>
      <w:r w:rsidR="00760A08" w:rsidRPr="0055775C">
        <w:rPr>
          <w:rFonts w:cs="Arial"/>
          <w:b/>
          <w:sz w:val="21"/>
          <w:szCs w:val="21"/>
          <w:vertAlign w:val="subscript"/>
        </w:rPr>
        <w:t xml:space="preserve"> </w:t>
      </w:r>
      <w:r w:rsidR="00DC337C" w:rsidRPr="0055775C">
        <w:rPr>
          <w:rFonts w:cs="Arial"/>
          <w:b/>
          <w:sz w:val="21"/>
          <w:szCs w:val="21"/>
        </w:rPr>
        <w:t>erreicht</w:t>
      </w:r>
      <w:r w:rsidR="00F15103" w:rsidRPr="0055775C">
        <w:rPr>
          <w:rFonts w:cs="Arial"/>
          <w:b/>
          <w:sz w:val="21"/>
          <w:szCs w:val="21"/>
        </w:rPr>
        <w:t xml:space="preserve"> dabei zumindest d</w:t>
      </w:r>
      <w:r w:rsidR="00DC337C" w:rsidRPr="0055775C">
        <w:rPr>
          <w:rFonts w:cs="Arial"/>
          <w:b/>
          <w:sz w:val="21"/>
          <w:szCs w:val="21"/>
        </w:rPr>
        <w:t>en Wert 0,3 oder höher</w:t>
      </w:r>
      <w:r w:rsidR="00F15103" w:rsidRPr="0055775C">
        <w:rPr>
          <w:rFonts w:cs="Arial"/>
          <w:sz w:val="21"/>
          <w:szCs w:val="21"/>
        </w:rPr>
        <w:t xml:space="preserve">. </w:t>
      </w:r>
    </w:p>
    <w:p w:rsidR="000763FA" w:rsidRPr="0055775C" w:rsidRDefault="000763FA" w:rsidP="00F3347E">
      <w:pPr>
        <w:pStyle w:val="Listenabsatz"/>
        <w:numPr>
          <w:ilvl w:val="0"/>
          <w:numId w:val="3"/>
        </w:numPr>
        <w:spacing w:before="120" w:after="120" w:line="240" w:lineRule="auto"/>
        <w:ind w:left="567" w:hanging="207"/>
        <w:contextualSpacing w:val="0"/>
        <w:jc w:val="both"/>
        <w:rPr>
          <w:rFonts w:cs="Arial"/>
          <w:sz w:val="21"/>
          <w:szCs w:val="21"/>
        </w:rPr>
      </w:pPr>
      <w:r w:rsidRPr="0055775C">
        <w:rPr>
          <w:rFonts w:cs="Arial"/>
          <w:sz w:val="21"/>
          <w:szCs w:val="21"/>
        </w:rPr>
        <w:t xml:space="preserve">Der Einsatz einer energieeffizienten Lichtregelanlage (Dimmung) </w:t>
      </w:r>
      <w:r w:rsidR="00DC337C" w:rsidRPr="0055775C">
        <w:rPr>
          <w:rFonts w:cs="Arial"/>
          <w:sz w:val="21"/>
          <w:szCs w:val="21"/>
        </w:rPr>
        <w:t>wird gegebenenfalls</w:t>
      </w:r>
      <w:r w:rsidR="00067D06" w:rsidRPr="0055775C">
        <w:rPr>
          <w:rFonts w:cs="Arial"/>
          <w:sz w:val="21"/>
          <w:szCs w:val="21"/>
        </w:rPr>
        <w:t xml:space="preserve"> gemäß </w:t>
      </w:r>
      <w:r w:rsidR="00FC231E" w:rsidRPr="0055775C">
        <w:rPr>
          <w:rFonts w:cs="Arial"/>
          <w:sz w:val="21"/>
          <w:szCs w:val="21"/>
        </w:rPr>
        <w:t>Ö-</w:t>
      </w:r>
      <w:r w:rsidR="00937A29" w:rsidRPr="0055775C">
        <w:rPr>
          <w:rFonts w:cs="Arial"/>
          <w:sz w:val="21"/>
          <w:szCs w:val="21"/>
        </w:rPr>
        <w:t>Norm </w:t>
      </w:r>
      <w:r w:rsidR="00F15103" w:rsidRPr="0055775C">
        <w:rPr>
          <w:rFonts w:cs="Arial"/>
          <w:sz w:val="21"/>
          <w:szCs w:val="21"/>
        </w:rPr>
        <w:t>O </w:t>
      </w:r>
      <w:r w:rsidRPr="0055775C">
        <w:rPr>
          <w:rFonts w:cs="Arial"/>
          <w:sz w:val="21"/>
          <w:szCs w:val="21"/>
        </w:rPr>
        <w:t xml:space="preserve">1053 </w:t>
      </w:r>
      <w:r w:rsidR="00B614AE" w:rsidRPr="0055775C">
        <w:rPr>
          <w:rFonts w:cs="Arial"/>
          <w:sz w:val="21"/>
          <w:szCs w:val="21"/>
        </w:rPr>
        <w:t xml:space="preserve">(Zusatz zur </w:t>
      </w:r>
      <w:r w:rsidR="00067D06" w:rsidRPr="0055775C">
        <w:rPr>
          <w:rFonts w:cs="Arial"/>
          <w:sz w:val="21"/>
          <w:szCs w:val="21"/>
        </w:rPr>
        <w:t xml:space="preserve">Ö-Norm </w:t>
      </w:r>
      <w:r w:rsidR="00B614AE" w:rsidRPr="0055775C">
        <w:rPr>
          <w:rFonts w:cs="Arial"/>
          <w:sz w:val="21"/>
          <w:szCs w:val="21"/>
        </w:rPr>
        <w:t xml:space="preserve">EN 13201) </w:t>
      </w:r>
      <w:r w:rsidR="00F15103" w:rsidRPr="0055775C">
        <w:rPr>
          <w:rFonts w:cs="Arial"/>
          <w:sz w:val="21"/>
          <w:szCs w:val="21"/>
        </w:rPr>
        <w:t>geplant und i</w:t>
      </w:r>
      <w:r w:rsidR="00DC337C" w:rsidRPr="0055775C">
        <w:rPr>
          <w:rFonts w:cs="Arial"/>
          <w:sz w:val="21"/>
          <w:szCs w:val="21"/>
        </w:rPr>
        <w:t>nstalliert</w:t>
      </w:r>
      <w:r w:rsidRPr="0055775C">
        <w:rPr>
          <w:rFonts w:cs="Arial"/>
          <w:sz w:val="21"/>
          <w:szCs w:val="21"/>
        </w:rPr>
        <w:t>.</w:t>
      </w:r>
    </w:p>
    <w:p w:rsidR="00646C88" w:rsidRPr="0055775C" w:rsidRDefault="00646C88" w:rsidP="00706FDF">
      <w:pPr>
        <w:pStyle w:val="Listenabsatz"/>
        <w:spacing w:before="120" w:after="120" w:line="240" w:lineRule="auto"/>
        <w:contextualSpacing w:val="0"/>
        <w:rPr>
          <w:rFonts w:cs="Arial"/>
          <w:sz w:val="21"/>
          <w:szCs w:val="21"/>
        </w:rPr>
      </w:pPr>
    </w:p>
    <w:p w:rsidR="00357270" w:rsidRPr="0055775C" w:rsidRDefault="00357270" w:rsidP="00706FDF">
      <w:pPr>
        <w:tabs>
          <w:tab w:val="right" w:pos="9072"/>
        </w:tabs>
        <w:spacing w:before="240" w:after="240" w:line="240" w:lineRule="auto"/>
        <w:rPr>
          <w:rFonts w:cs="Arial"/>
          <w:sz w:val="21"/>
          <w:szCs w:val="21"/>
        </w:rPr>
      </w:pPr>
      <w:r w:rsidRPr="0055775C">
        <w:rPr>
          <w:rFonts w:cs="Arial"/>
          <w:sz w:val="21"/>
          <w:szCs w:val="21"/>
        </w:rPr>
        <w:t xml:space="preserve">Lichtplaner: (Name, Firma, Anschrift) </w:t>
      </w:r>
      <w:r w:rsidRPr="0055775C">
        <w:rPr>
          <w:rFonts w:cs="Arial"/>
          <w:sz w:val="21"/>
          <w:szCs w:val="21"/>
        </w:rPr>
        <w:tab/>
        <w:t>___________________________</w:t>
      </w:r>
      <w:r w:rsidR="002434DE" w:rsidRPr="0055775C">
        <w:rPr>
          <w:rFonts w:cs="Arial"/>
          <w:sz w:val="21"/>
          <w:szCs w:val="21"/>
        </w:rPr>
        <w:t>_________</w:t>
      </w:r>
    </w:p>
    <w:p w:rsidR="00357270" w:rsidRPr="0055775C" w:rsidRDefault="00706FDF" w:rsidP="00706FDF">
      <w:pPr>
        <w:tabs>
          <w:tab w:val="right" w:pos="9072"/>
        </w:tabs>
        <w:spacing w:before="240" w:after="240" w:line="240" w:lineRule="auto"/>
        <w:rPr>
          <w:rFonts w:cs="Arial"/>
          <w:sz w:val="21"/>
          <w:szCs w:val="21"/>
        </w:rPr>
      </w:pPr>
      <w:r w:rsidRPr="0055775C">
        <w:rPr>
          <w:rFonts w:cs="Arial"/>
          <w:sz w:val="21"/>
          <w:szCs w:val="21"/>
        </w:rPr>
        <w:tab/>
      </w:r>
      <w:r w:rsidR="00357270" w:rsidRPr="0055775C">
        <w:rPr>
          <w:rFonts w:cs="Arial"/>
          <w:sz w:val="21"/>
          <w:szCs w:val="21"/>
        </w:rPr>
        <w:t>___________________________</w:t>
      </w:r>
      <w:r w:rsidR="002434DE" w:rsidRPr="0055775C">
        <w:rPr>
          <w:rFonts w:cs="Arial"/>
          <w:sz w:val="21"/>
          <w:szCs w:val="21"/>
        </w:rPr>
        <w:t>_________</w:t>
      </w:r>
    </w:p>
    <w:p w:rsidR="00FC231E" w:rsidRPr="0055775C" w:rsidRDefault="00706FDF" w:rsidP="00706FDF">
      <w:pPr>
        <w:tabs>
          <w:tab w:val="right" w:pos="9072"/>
        </w:tabs>
        <w:spacing w:before="240" w:after="240" w:line="240" w:lineRule="auto"/>
        <w:rPr>
          <w:rFonts w:cs="Arial"/>
          <w:sz w:val="21"/>
          <w:szCs w:val="21"/>
        </w:rPr>
      </w:pPr>
      <w:r w:rsidRPr="0055775C">
        <w:rPr>
          <w:rFonts w:cs="Arial"/>
          <w:sz w:val="21"/>
          <w:szCs w:val="21"/>
        </w:rPr>
        <w:tab/>
      </w:r>
      <w:r w:rsidR="00FC231E" w:rsidRPr="0055775C">
        <w:rPr>
          <w:rFonts w:cs="Arial"/>
          <w:sz w:val="21"/>
          <w:szCs w:val="21"/>
        </w:rPr>
        <w:t>___________________________</w:t>
      </w:r>
      <w:r w:rsidR="002434DE" w:rsidRPr="0055775C">
        <w:rPr>
          <w:rFonts w:cs="Arial"/>
          <w:sz w:val="21"/>
          <w:szCs w:val="21"/>
        </w:rPr>
        <w:t>_________</w:t>
      </w:r>
    </w:p>
    <w:p w:rsidR="00B614AE" w:rsidRPr="0055775C" w:rsidRDefault="00B614AE" w:rsidP="00706FDF">
      <w:pPr>
        <w:spacing w:before="120" w:after="120" w:line="240" w:lineRule="auto"/>
        <w:jc w:val="both"/>
        <w:rPr>
          <w:rFonts w:cs="Arial"/>
          <w:sz w:val="21"/>
          <w:szCs w:val="21"/>
        </w:rPr>
      </w:pPr>
      <w:r w:rsidRPr="0055775C">
        <w:rPr>
          <w:rFonts w:cs="Arial"/>
          <w:sz w:val="21"/>
          <w:szCs w:val="21"/>
        </w:rPr>
        <w:t>Als Lichtplaner bestätige ich, dass die oben genannten Punkte</w:t>
      </w:r>
      <w:r w:rsidR="00E80D81" w:rsidRPr="0055775C">
        <w:rPr>
          <w:rFonts w:cs="Arial"/>
          <w:sz w:val="21"/>
          <w:szCs w:val="21"/>
        </w:rPr>
        <w:t xml:space="preserve"> bei der Beleuchtungsoptimierung des gegenständlichen Projektes</w:t>
      </w:r>
      <w:r w:rsidRPr="0055775C">
        <w:rPr>
          <w:rFonts w:cs="Arial"/>
          <w:sz w:val="21"/>
          <w:szCs w:val="21"/>
        </w:rPr>
        <w:t xml:space="preserve"> </w:t>
      </w:r>
      <w:r w:rsidR="003B0799" w:rsidRPr="0055775C">
        <w:rPr>
          <w:rFonts w:cs="Arial"/>
          <w:sz w:val="21"/>
          <w:szCs w:val="21"/>
        </w:rPr>
        <w:t>(</w:t>
      </w:r>
      <w:r w:rsidR="004E26B7" w:rsidRPr="0055775C">
        <w:rPr>
          <w:rFonts w:cs="Arial"/>
          <w:sz w:val="21"/>
          <w:szCs w:val="21"/>
        </w:rPr>
        <w:t xml:space="preserve">gemäß </w:t>
      </w:r>
      <w:r w:rsidR="0008331B" w:rsidRPr="0055775C">
        <w:rPr>
          <w:rFonts w:cs="Arial"/>
          <w:sz w:val="21"/>
          <w:szCs w:val="21"/>
        </w:rPr>
        <w:t>Formular</w:t>
      </w:r>
      <w:r w:rsidR="004E26B7" w:rsidRPr="0055775C">
        <w:rPr>
          <w:rFonts w:cs="Arial"/>
          <w:sz w:val="21"/>
          <w:szCs w:val="21"/>
        </w:rPr>
        <w:t xml:space="preserve"> </w:t>
      </w:r>
      <w:proofErr w:type="spellStart"/>
      <w:r w:rsidR="004E26B7" w:rsidRPr="0055775C">
        <w:rPr>
          <w:rFonts w:cs="Arial"/>
          <w:sz w:val="21"/>
          <w:szCs w:val="21"/>
        </w:rPr>
        <w:t>Leuchtenaufstellung</w:t>
      </w:r>
      <w:proofErr w:type="spellEnd"/>
      <w:r w:rsidR="004E26B7" w:rsidRPr="0055775C">
        <w:rPr>
          <w:rFonts w:cs="Arial"/>
          <w:sz w:val="21"/>
          <w:szCs w:val="21"/>
        </w:rPr>
        <w:t xml:space="preserve">) </w:t>
      </w:r>
      <w:r w:rsidRPr="0055775C">
        <w:rPr>
          <w:rFonts w:cs="Arial"/>
          <w:sz w:val="21"/>
          <w:szCs w:val="21"/>
        </w:rPr>
        <w:t xml:space="preserve">eingehalten werden. </w:t>
      </w:r>
    </w:p>
    <w:p w:rsidR="00F3347E" w:rsidRPr="0055775C" w:rsidRDefault="00F3347E" w:rsidP="00706FDF">
      <w:pPr>
        <w:spacing w:before="120" w:after="120" w:line="240" w:lineRule="auto"/>
        <w:jc w:val="both"/>
        <w:rPr>
          <w:rFonts w:cs="Arial"/>
          <w:sz w:val="21"/>
          <w:szCs w:val="21"/>
        </w:rPr>
      </w:pPr>
    </w:p>
    <w:p w:rsidR="00F3347E" w:rsidRPr="0055775C" w:rsidRDefault="00F3347E" w:rsidP="00706FDF">
      <w:pPr>
        <w:spacing w:before="120" w:after="120" w:line="240" w:lineRule="auto"/>
        <w:jc w:val="both"/>
        <w:rPr>
          <w:rFonts w:cs="Arial"/>
          <w:sz w:val="21"/>
          <w:szCs w:val="21"/>
        </w:rPr>
      </w:pPr>
    </w:p>
    <w:p w:rsidR="00F3347E" w:rsidRPr="0055775C" w:rsidRDefault="00F3347E" w:rsidP="00706FDF">
      <w:pPr>
        <w:spacing w:before="120" w:after="120" w:line="240" w:lineRule="auto"/>
        <w:jc w:val="both"/>
        <w:rPr>
          <w:rFonts w:cs="Arial"/>
          <w:sz w:val="21"/>
          <w:szCs w:val="21"/>
        </w:rPr>
      </w:pPr>
    </w:p>
    <w:p w:rsidR="00D32121" w:rsidRPr="0055775C" w:rsidRDefault="00D32121" w:rsidP="00F3347E">
      <w:pPr>
        <w:spacing w:before="40" w:after="40" w:line="240" w:lineRule="auto"/>
        <w:rPr>
          <w:rFonts w:cs="Arial"/>
          <w:sz w:val="21"/>
          <w:szCs w:val="21"/>
        </w:rPr>
      </w:pPr>
      <w:r w:rsidRPr="0055775C">
        <w:rPr>
          <w:rFonts w:cs="Arial"/>
          <w:sz w:val="21"/>
          <w:szCs w:val="21"/>
        </w:rPr>
        <w:t>----------------------------------------</w:t>
      </w:r>
      <w:r w:rsidRPr="0055775C">
        <w:rPr>
          <w:rFonts w:cs="Arial"/>
          <w:sz w:val="21"/>
          <w:szCs w:val="21"/>
        </w:rPr>
        <w:tab/>
      </w:r>
      <w:r w:rsidRPr="0055775C">
        <w:rPr>
          <w:rFonts w:cs="Arial"/>
          <w:sz w:val="21"/>
          <w:szCs w:val="21"/>
        </w:rPr>
        <w:tab/>
      </w:r>
      <w:r w:rsidRPr="0055775C">
        <w:rPr>
          <w:rFonts w:cs="Arial"/>
          <w:sz w:val="21"/>
          <w:szCs w:val="21"/>
        </w:rPr>
        <w:tab/>
      </w:r>
      <w:r w:rsidRPr="0055775C">
        <w:rPr>
          <w:rFonts w:cs="Arial"/>
          <w:sz w:val="21"/>
          <w:szCs w:val="21"/>
        </w:rPr>
        <w:tab/>
        <w:t>-----------------------------</w:t>
      </w:r>
      <w:r w:rsidR="00706FDF" w:rsidRPr="0055775C">
        <w:rPr>
          <w:rFonts w:cs="Arial"/>
          <w:sz w:val="21"/>
          <w:szCs w:val="21"/>
        </w:rPr>
        <w:t>-----------------</w:t>
      </w:r>
    </w:p>
    <w:p w:rsidR="00D32121" w:rsidRPr="0055775C" w:rsidRDefault="00D32121" w:rsidP="00F3347E">
      <w:pPr>
        <w:pStyle w:val="Listenabsatz"/>
        <w:spacing w:before="40" w:after="40" w:line="240" w:lineRule="auto"/>
        <w:contextualSpacing w:val="0"/>
        <w:rPr>
          <w:rFonts w:cs="Arial"/>
          <w:sz w:val="21"/>
          <w:szCs w:val="21"/>
        </w:rPr>
      </w:pPr>
      <w:r w:rsidRPr="0055775C">
        <w:rPr>
          <w:rFonts w:cs="Arial"/>
          <w:sz w:val="21"/>
          <w:szCs w:val="21"/>
        </w:rPr>
        <w:t xml:space="preserve"> </w:t>
      </w:r>
      <w:r w:rsidR="00937A29" w:rsidRPr="0055775C">
        <w:rPr>
          <w:rFonts w:cs="Arial"/>
          <w:sz w:val="21"/>
          <w:szCs w:val="21"/>
        </w:rPr>
        <w:t xml:space="preserve">  </w:t>
      </w:r>
      <w:r w:rsidRPr="0055775C">
        <w:rPr>
          <w:rFonts w:cs="Arial"/>
          <w:sz w:val="21"/>
          <w:szCs w:val="21"/>
        </w:rPr>
        <w:t xml:space="preserve"> Datum</w:t>
      </w:r>
      <w:r w:rsidR="00F3347E" w:rsidRPr="0055775C">
        <w:rPr>
          <w:rFonts w:cs="Arial"/>
          <w:sz w:val="21"/>
          <w:szCs w:val="21"/>
        </w:rPr>
        <w:tab/>
      </w:r>
      <w:r w:rsidR="00F3347E" w:rsidRPr="0055775C">
        <w:rPr>
          <w:rFonts w:cs="Arial"/>
          <w:sz w:val="21"/>
          <w:szCs w:val="21"/>
        </w:rPr>
        <w:tab/>
      </w:r>
      <w:r w:rsidR="00F3347E" w:rsidRPr="0055775C">
        <w:rPr>
          <w:rFonts w:cs="Arial"/>
          <w:sz w:val="21"/>
          <w:szCs w:val="21"/>
        </w:rPr>
        <w:tab/>
      </w:r>
      <w:r w:rsidR="00F3347E" w:rsidRPr="0055775C">
        <w:rPr>
          <w:rFonts w:cs="Arial"/>
          <w:sz w:val="21"/>
          <w:szCs w:val="21"/>
        </w:rPr>
        <w:tab/>
      </w:r>
      <w:r w:rsidR="00F3347E" w:rsidRPr="0055775C">
        <w:rPr>
          <w:rFonts w:cs="Arial"/>
          <w:sz w:val="21"/>
          <w:szCs w:val="21"/>
        </w:rPr>
        <w:tab/>
        <w:t xml:space="preserve">   </w:t>
      </w:r>
      <w:r w:rsidR="002434DE" w:rsidRPr="0055775C">
        <w:rPr>
          <w:rFonts w:cs="Arial"/>
          <w:sz w:val="21"/>
          <w:szCs w:val="21"/>
        </w:rPr>
        <w:t xml:space="preserve">  </w:t>
      </w:r>
      <w:r w:rsidRPr="0055775C">
        <w:rPr>
          <w:rFonts w:cs="Arial"/>
          <w:sz w:val="21"/>
          <w:szCs w:val="21"/>
        </w:rPr>
        <w:t xml:space="preserve"> Unterschrift</w:t>
      </w:r>
      <w:r w:rsidR="00357270" w:rsidRPr="0055775C">
        <w:rPr>
          <w:rFonts w:cs="Arial"/>
          <w:sz w:val="21"/>
          <w:szCs w:val="21"/>
        </w:rPr>
        <w:t xml:space="preserve"> </w:t>
      </w:r>
      <w:r w:rsidR="002434DE" w:rsidRPr="0055775C">
        <w:rPr>
          <w:rFonts w:cs="Arial"/>
          <w:sz w:val="21"/>
          <w:szCs w:val="21"/>
        </w:rPr>
        <w:t>und Stempel</w:t>
      </w:r>
    </w:p>
    <w:sectPr w:rsidR="00D32121" w:rsidRPr="0055775C" w:rsidSect="0055775C">
      <w:headerReference w:type="default" r:id="rId8"/>
      <w:footerReference w:type="default" r:id="rId9"/>
      <w:pgSz w:w="11906" w:h="16838"/>
      <w:pgMar w:top="1843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81" w:rsidRDefault="00E80D81" w:rsidP="00530CC6">
      <w:pPr>
        <w:spacing w:after="0" w:line="240" w:lineRule="auto"/>
      </w:pPr>
      <w:r>
        <w:separator/>
      </w:r>
    </w:p>
  </w:endnote>
  <w:endnote w:type="continuationSeparator" w:id="0">
    <w:p w:rsidR="00E80D81" w:rsidRDefault="00E80D81" w:rsidP="0053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5C" w:rsidRPr="0055775C" w:rsidRDefault="0055775C" w:rsidP="0055775C">
    <w:pPr>
      <w:spacing w:after="0" w:line="240" w:lineRule="auto"/>
      <w:ind w:left="-850"/>
      <w:rPr>
        <w:rFonts w:eastAsia="Times New Roman" w:cs="Arial"/>
        <w:b/>
        <w:bCs/>
        <w:sz w:val="16"/>
        <w:szCs w:val="16"/>
        <w:lang w:val="de-DE" w:eastAsia="de-DE"/>
      </w:rPr>
    </w:pPr>
    <w:r w:rsidRPr="0055775C">
      <w:rPr>
        <w:rFonts w:eastAsia="Times New Roman" w:cs="Arial"/>
        <w:b/>
        <w:bCs/>
        <w:sz w:val="16"/>
        <w:szCs w:val="16"/>
        <w:lang w:val="de-DE" w:eastAsia="de-DE"/>
      </w:rPr>
      <w:t>Kommunalkredit Public Consulting GmbH</w:t>
    </w:r>
  </w:p>
  <w:p w:rsidR="0055775C" w:rsidRPr="0055775C" w:rsidRDefault="0055775C" w:rsidP="0055775C">
    <w:pPr>
      <w:spacing w:before="40" w:after="0" w:line="240" w:lineRule="auto"/>
      <w:ind w:left="-850"/>
      <w:rPr>
        <w:rFonts w:eastAsia="Times New Roman" w:cs="Arial"/>
        <w:sz w:val="16"/>
        <w:szCs w:val="16"/>
        <w:lang w:val="de-DE" w:eastAsia="de-DE"/>
      </w:rPr>
    </w:pPr>
    <w:r w:rsidRPr="0055775C">
      <w:rPr>
        <w:rFonts w:eastAsia="Times New Roman" w:cs="Arial"/>
        <w:sz w:val="16"/>
        <w:szCs w:val="16"/>
        <w:lang w:val="de-DE" w:eastAsia="de-DE"/>
      </w:rPr>
      <w:t>Türkenstraße 9, 109</w:t>
    </w:r>
    <w:r w:rsidR="00A06530">
      <w:rPr>
        <w:rFonts w:eastAsia="Times New Roman" w:cs="Arial"/>
        <w:sz w:val="16"/>
        <w:szCs w:val="16"/>
        <w:lang w:val="de-DE" w:eastAsia="de-DE"/>
      </w:rPr>
      <w:t>0</w:t>
    </w:r>
    <w:r w:rsidRPr="0055775C">
      <w:rPr>
        <w:rFonts w:eastAsia="Times New Roman" w:cs="Arial"/>
        <w:sz w:val="16"/>
        <w:szCs w:val="16"/>
        <w:lang w:val="de-DE" w:eastAsia="de-DE"/>
      </w:rPr>
      <w:t xml:space="preserve"> Wien</w:t>
    </w:r>
  </w:p>
  <w:p w:rsidR="0055775C" w:rsidRPr="0055775C" w:rsidRDefault="0055775C" w:rsidP="0055775C">
    <w:pPr>
      <w:spacing w:after="0" w:line="240" w:lineRule="auto"/>
      <w:ind w:left="-850"/>
      <w:rPr>
        <w:rFonts w:eastAsia="Times New Roman" w:cs="Arial"/>
        <w:sz w:val="16"/>
        <w:szCs w:val="16"/>
        <w:lang w:val="de-DE" w:eastAsia="de-DE"/>
      </w:rPr>
    </w:pPr>
    <w:r w:rsidRPr="0055775C">
      <w:rPr>
        <w:rFonts w:eastAsia="Times New Roman" w:cs="Arial"/>
        <w:sz w:val="16"/>
        <w:szCs w:val="16"/>
        <w:lang w:val="de-DE" w:eastAsia="de-DE"/>
      </w:rPr>
      <w:t>www.publicconsulting.at</w:t>
    </w:r>
  </w:p>
  <w:p w:rsidR="0055775C" w:rsidRPr="0055775C" w:rsidRDefault="0055775C" w:rsidP="0055775C">
    <w:pPr>
      <w:spacing w:before="80" w:after="0" w:line="240" w:lineRule="auto"/>
      <w:ind w:left="-850"/>
      <w:rPr>
        <w:rFonts w:eastAsia="Times New Roman" w:cs="Arial"/>
        <w:sz w:val="16"/>
        <w:szCs w:val="16"/>
        <w:lang w:val="de-DE" w:eastAsia="de-DE"/>
      </w:rPr>
    </w:pPr>
    <w:r w:rsidRPr="0055775C">
      <w:rPr>
        <w:rFonts w:eastAsia="Times New Roman" w:cs="Arial"/>
        <w:sz w:val="16"/>
        <w:szCs w:val="16"/>
        <w:lang w:val="de-DE" w:eastAsia="de-DE"/>
      </w:rPr>
      <w:t>Mail: kpc@kommunalkredit.at</w:t>
    </w:r>
  </w:p>
  <w:p w:rsidR="0055775C" w:rsidRDefault="0055775C" w:rsidP="0055775C">
    <w:pPr>
      <w:spacing w:after="0" w:line="240" w:lineRule="auto"/>
      <w:ind w:left="-850"/>
      <w:rPr>
        <w:rFonts w:eastAsia="Times New Roman" w:cs="Arial"/>
        <w:sz w:val="16"/>
        <w:szCs w:val="16"/>
        <w:lang w:eastAsia="de-DE"/>
      </w:rPr>
    </w:pPr>
    <w:r w:rsidRPr="0055775C">
      <w:rPr>
        <w:rFonts w:eastAsia="Times New Roman" w:cs="Arial"/>
        <w:sz w:val="16"/>
        <w:szCs w:val="16"/>
        <w:lang w:eastAsia="de-DE"/>
      </w:rPr>
      <w:t>Tel.: 01/31 6 31-0, Fax-DW: 01/31 6 31-104</w:t>
    </w:r>
  </w:p>
  <w:p w:rsidR="00706FDF" w:rsidRPr="0055775C" w:rsidRDefault="0055775C" w:rsidP="0055775C">
    <w:pPr>
      <w:spacing w:after="120" w:line="240" w:lineRule="auto"/>
      <w:ind w:left="-850"/>
      <w:rPr>
        <w:rFonts w:eastAsia="Times New Roman" w:cs="Arial"/>
        <w:sz w:val="16"/>
        <w:szCs w:val="16"/>
        <w:lang w:eastAsia="de-DE"/>
      </w:rPr>
    </w:pPr>
    <w:r w:rsidRPr="0055775C">
      <w:rPr>
        <w:rFonts w:eastAsia="Times New Roman" w:cs="Arial"/>
        <w:sz w:val="15"/>
        <w:szCs w:val="15"/>
        <w:lang w:val="de-DE" w:eastAsia="de-DE"/>
      </w:rPr>
      <w:t>UID-Nr.: ATU57293011, FN 236804t, Handelsgericht Wien</w:t>
    </w:r>
  </w:p>
  <w:p w:rsidR="0055775C" w:rsidRPr="0055775C" w:rsidRDefault="0055775C" w:rsidP="0055775C">
    <w:pPr>
      <w:pStyle w:val="Fuzeile"/>
      <w:ind w:left="-142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81" w:rsidRDefault="00E80D81" w:rsidP="00530CC6">
      <w:pPr>
        <w:spacing w:after="0" w:line="240" w:lineRule="auto"/>
      </w:pPr>
      <w:r>
        <w:separator/>
      </w:r>
    </w:p>
  </w:footnote>
  <w:footnote w:type="continuationSeparator" w:id="0">
    <w:p w:rsidR="00E80D81" w:rsidRDefault="00E80D81" w:rsidP="00530CC6">
      <w:pPr>
        <w:spacing w:after="0" w:line="240" w:lineRule="auto"/>
      </w:pPr>
      <w:r>
        <w:continuationSeparator/>
      </w:r>
    </w:p>
  </w:footnote>
  <w:footnote w:id="1">
    <w:p w:rsidR="00E80D81" w:rsidRPr="0055775C" w:rsidRDefault="00E80D81" w:rsidP="00411229">
      <w:pPr>
        <w:spacing w:after="120" w:line="240" w:lineRule="auto"/>
        <w:jc w:val="both"/>
        <w:rPr>
          <w:rFonts w:cs="Times New Roman"/>
          <w:sz w:val="18"/>
          <w:szCs w:val="18"/>
        </w:rPr>
      </w:pPr>
      <w:r w:rsidRPr="0055775C">
        <w:rPr>
          <w:rStyle w:val="Funotenzeichen"/>
          <w:sz w:val="18"/>
          <w:szCs w:val="18"/>
        </w:rPr>
        <w:footnoteRef/>
      </w:r>
      <w:r w:rsidRPr="0055775C">
        <w:rPr>
          <w:sz w:val="18"/>
          <w:szCs w:val="18"/>
        </w:rPr>
        <w:t xml:space="preserve"> </w:t>
      </w:r>
      <m:oMath>
        <m:r>
          <w:rPr>
            <w:rFonts w:ascii="Cambria Math" w:hAnsi="Cambria Math" w:cs="Times New Roman"/>
            <w:sz w:val="18"/>
            <w:szCs w:val="18"/>
          </w:rPr>
          <m:t>A</m:t>
        </m:r>
      </m:oMath>
      <w:r w:rsidRPr="0055775C">
        <w:rPr>
          <w:rFonts w:cs="Times New Roman"/>
          <w:sz w:val="18"/>
          <w:szCs w:val="18"/>
        </w:rPr>
        <w:t>……. Fläche (in m</w:t>
      </w:r>
      <w:r w:rsidRPr="0055775C">
        <w:rPr>
          <w:rFonts w:cs="Times New Roman"/>
          <w:sz w:val="18"/>
          <w:szCs w:val="18"/>
          <w:vertAlign w:val="superscript"/>
        </w:rPr>
        <w:t>2</w:t>
      </w:r>
      <w:r w:rsidRPr="0055775C">
        <w:rPr>
          <w:rFonts w:cs="Times New Roman"/>
          <w:sz w:val="18"/>
          <w:szCs w:val="18"/>
        </w:rPr>
        <w:t>) die zu beleuchten ist; z.B. Straßenbreite mal Straßenlänge.</w:t>
      </w:r>
    </w:p>
    <w:p w:rsidR="00E80D81" w:rsidRPr="0055775C" w:rsidRDefault="00B26A9D" w:rsidP="00411229">
      <w:pPr>
        <w:spacing w:after="120" w:line="240" w:lineRule="auto"/>
        <w:jc w:val="both"/>
        <w:rPr>
          <w:rFonts w:cs="Times New Roman"/>
          <w:sz w:val="18"/>
          <w:szCs w:val="1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E</m:t>
            </m:r>
          </m:e>
        </m:bar>
      </m:oMath>
      <w:r w:rsidR="00E80D81" w:rsidRPr="0055775C">
        <w:rPr>
          <w:rFonts w:cs="Times New Roman"/>
          <w:sz w:val="18"/>
          <w:szCs w:val="18"/>
        </w:rPr>
        <w:t>….. …mittlere Beleuchtungsstärke (in lx) im zu betrachtenden Abschnitt, berechnet oder gemessen entsprechend einem Messraster gemäß Ö-Norm EN 13201</w:t>
      </w:r>
    </w:p>
    <w:p w:rsidR="00E80D81" w:rsidRPr="0055775C" w:rsidRDefault="00B26A9D" w:rsidP="00411229">
      <w:pPr>
        <w:spacing w:after="120" w:line="240" w:lineRule="auto"/>
        <w:jc w:val="both"/>
        <w:rPr>
          <w:sz w:val="18"/>
          <w:szCs w:val="18"/>
        </w:rPr>
      </w:pPr>
      <m:oMath>
        <m:sSub>
          <m:sSub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Anl</m:t>
            </m:r>
          </m:sub>
        </m:sSub>
      </m:oMath>
      <w:r w:rsidR="00E80D81" w:rsidRPr="0055775C">
        <w:rPr>
          <w:rFonts w:cs="Times New Roman"/>
          <w:sz w:val="18"/>
          <w:szCs w:val="18"/>
        </w:rPr>
        <w:t>…..Gesamtl</w:t>
      </w:r>
      <w:proofErr w:type="spellStart"/>
      <w:r w:rsidR="00411229" w:rsidRPr="0055775C">
        <w:rPr>
          <w:rFonts w:cs="Times New Roman"/>
          <w:sz w:val="18"/>
          <w:szCs w:val="18"/>
        </w:rPr>
        <w:t>eistung</w:t>
      </w:r>
      <w:proofErr w:type="spellEnd"/>
      <w:r w:rsidR="00411229" w:rsidRPr="0055775C">
        <w:rPr>
          <w:rFonts w:cs="Times New Roman"/>
          <w:sz w:val="18"/>
          <w:szCs w:val="18"/>
        </w:rPr>
        <w:t xml:space="preserve"> (Anschlussleistung in W</w:t>
      </w:r>
      <w:r w:rsidR="00E80D81" w:rsidRPr="0055775C">
        <w:rPr>
          <w:rFonts w:cs="Times New Roman"/>
          <w:sz w:val="18"/>
          <w:szCs w:val="18"/>
        </w:rPr>
        <w:t>) der gesamten Anlage incl. aller</w:t>
      </w:r>
      <w:r w:rsidR="00411229" w:rsidRPr="0055775C">
        <w:rPr>
          <w:rFonts w:cs="Times New Roman"/>
          <w:sz w:val="18"/>
          <w:szCs w:val="18"/>
        </w:rPr>
        <w:t xml:space="preserve"> Komponenten</w:t>
      </w:r>
      <w:r w:rsidR="00E80D81" w:rsidRPr="0055775C">
        <w:rPr>
          <w:rFonts w:cs="Times New Roman"/>
          <w:sz w:val="18"/>
          <w:szCs w:val="18"/>
        </w:rPr>
        <w:t xml:space="preserve"> (Steuerungsgeräte, Vorschaltgeräte, Überwachungskomponenten etc.)</w:t>
      </w:r>
    </w:p>
  </w:footnote>
  <w:footnote w:id="2">
    <w:p w:rsidR="00E80D81" w:rsidRPr="0055775C" w:rsidRDefault="00E80D81" w:rsidP="00411229">
      <w:pPr>
        <w:pStyle w:val="Funotentext"/>
        <w:spacing w:after="120"/>
        <w:jc w:val="both"/>
        <w:rPr>
          <w:rFonts w:asciiTheme="minorHAnsi" w:hAnsiTheme="minorHAnsi"/>
          <w:sz w:val="18"/>
          <w:szCs w:val="18"/>
        </w:rPr>
      </w:pPr>
      <w:r w:rsidRPr="0055775C">
        <w:rPr>
          <w:rStyle w:val="Funotenzeichen"/>
          <w:rFonts w:asciiTheme="minorHAnsi" w:hAnsiTheme="minorHAnsi"/>
          <w:sz w:val="18"/>
          <w:szCs w:val="18"/>
        </w:rPr>
        <w:footnoteRef/>
      </w:r>
      <w:r w:rsidRPr="0055775C">
        <w:rPr>
          <w:rFonts w:asciiTheme="minorHAnsi" w:hAnsiTheme="minorHAnsi"/>
          <w:sz w:val="18"/>
          <w:szCs w:val="18"/>
        </w:rPr>
        <w:t xml:space="preserve"> Das Messraster ist in Anlehnung an die Ö-Norm EN 13201, Teil 3 zu wählen.</w:t>
      </w:r>
    </w:p>
    <w:p w:rsidR="00706FDF" w:rsidRPr="0055775C" w:rsidRDefault="00706FDF" w:rsidP="00411229">
      <w:pPr>
        <w:pStyle w:val="Funotentext"/>
        <w:spacing w:after="120"/>
        <w:jc w:val="both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DF" w:rsidRDefault="0055775C">
    <w:pPr>
      <w:pStyle w:val="Kopfzeile"/>
    </w:pPr>
    <w:r w:rsidRPr="007A3DEB">
      <w:rPr>
        <w:noProof/>
        <w:color w:val="87888A"/>
        <w:sz w:val="18"/>
        <w:szCs w:val="18"/>
        <w:lang w:eastAsia="de-AT"/>
      </w:rPr>
      <w:drawing>
        <wp:anchor distT="0" distB="0" distL="114300" distR="114300" simplePos="0" relativeHeight="251660288" behindDoc="1" locked="0" layoutInCell="1" allowOverlap="1" wp14:anchorId="0C5D0060" wp14:editId="66E42722">
          <wp:simplePos x="0" y="0"/>
          <wp:positionH relativeFrom="column">
            <wp:posOffset>4796287</wp:posOffset>
          </wp:positionH>
          <wp:positionV relativeFrom="paragraph">
            <wp:posOffset>59941</wp:posOffset>
          </wp:positionV>
          <wp:extent cx="1260000" cy="514800"/>
          <wp:effectExtent l="0" t="0" r="0" b="0"/>
          <wp:wrapTight wrapText="bothSides">
            <wp:wrapPolygon edited="0">
              <wp:start x="0" y="0"/>
              <wp:lineTo x="0" y="20800"/>
              <wp:lineTo x="21230" y="20800"/>
              <wp:lineTo x="21230" y="0"/>
              <wp:lineTo x="0" y="0"/>
            </wp:wrapPolygon>
          </wp:wrapTight>
          <wp:docPr id="22" name="Grafik 1" descr="\\kommunalkredit.at\dfsroot$\J_KPC\KPC Allgemein\Außenauftritt und Präsentationen\Logos und Kopfzeilen\KPC-Logo\Logo_KommunalkreditPublicConsulting_randl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kommunalkredit.at\dfsroot$\J_KPC\KPC Allgemein\Außenauftritt und Präsentationen\Logos und Kopfzeilen\KPC-Logo\Logo_KommunalkreditPublicConsulting_randl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8C1"/>
    <w:multiLevelType w:val="hybridMultilevel"/>
    <w:tmpl w:val="0C38389A"/>
    <w:lvl w:ilvl="0" w:tplc="175C8F66">
      <w:start w:val="1"/>
      <w:numFmt w:val="bullet"/>
      <w:lvlText w:val=""/>
      <w:lvlJc w:val="left"/>
      <w:pPr>
        <w:ind w:left="720" w:hanging="360"/>
      </w:pPr>
      <w:rPr>
        <w:rFonts w:ascii="ZapfDingbats" w:hAnsi="ZapfDingbats" w:hint="default"/>
        <w:b w:val="0"/>
        <w:i w:val="0"/>
        <w:color w:val="00946C"/>
        <w:sz w:val="18"/>
        <w:u w:color="00946C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26D"/>
    <w:multiLevelType w:val="hybridMultilevel"/>
    <w:tmpl w:val="C2B4FD36"/>
    <w:lvl w:ilvl="0" w:tplc="0C07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9C1E89"/>
    <w:multiLevelType w:val="hybridMultilevel"/>
    <w:tmpl w:val="3482AD36"/>
    <w:lvl w:ilvl="0" w:tplc="A2285B68">
      <w:start w:val="1"/>
      <w:numFmt w:val="bullet"/>
      <w:pStyle w:val="Listenabsatz1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  <w:color w:val="00946C"/>
      </w:rPr>
    </w:lvl>
    <w:lvl w:ilvl="1" w:tplc="0C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42394250"/>
    <w:multiLevelType w:val="hybridMultilevel"/>
    <w:tmpl w:val="8FB2175A"/>
    <w:lvl w:ilvl="0" w:tplc="96A82062">
      <w:start w:val="1"/>
      <w:numFmt w:val="decimal"/>
      <w:lvlText w:val="%1.)"/>
      <w:lvlJc w:val="left"/>
      <w:pPr>
        <w:ind w:left="786" w:hanging="360"/>
      </w:pPr>
      <w:rPr>
        <w:rFonts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CC6"/>
    <w:rsid w:val="00040EAA"/>
    <w:rsid w:val="00067D06"/>
    <w:rsid w:val="000763FA"/>
    <w:rsid w:val="0008331B"/>
    <w:rsid w:val="0010258B"/>
    <w:rsid w:val="00103240"/>
    <w:rsid w:val="001D160C"/>
    <w:rsid w:val="00223A0D"/>
    <w:rsid w:val="00241DE5"/>
    <w:rsid w:val="002434DE"/>
    <w:rsid w:val="00246C7F"/>
    <w:rsid w:val="00247F32"/>
    <w:rsid w:val="00291483"/>
    <w:rsid w:val="002D10C2"/>
    <w:rsid w:val="00357270"/>
    <w:rsid w:val="003B0799"/>
    <w:rsid w:val="003C37FD"/>
    <w:rsid w:val="003F5140"/>
    <w:rsid w:val="00411229"/>
    <w:rsid w:val="004370C3"/>
    <w:rsid w:val="00454E68"/>
    <w:rsid w:val="0047647D"/>
    <w:rsid w:val="004D2E84"/>
    <w:rsid w:val="004E26B7"/>
    <w:rsid w:val="00530CC6"/>
    <w:rsid w:val="0055775C"/>
    <w:rsid w:val="00585A9B"/>
    <w:rsid w:val="006376B8"/>
    <w:rsid w:val="00646C88"/>
    <w:rsid w:val="00706FDF"/>
    <w:rsid w:val="007517B9"/>
    <w:rsid w:val="00760A08"/>
    <w:rsid w:val="007C0FA6"/>
    <w:rsid w:val="007D6DD0"/>
    <w:rsid w:val="00814A49"/>
    <w:rsid w:val="008304FB"/>
    <w:rsid w:val="0086452D"/>
    <w:rsid w:val="008870CB"/>
    <w:rsid w:val="008A3CFD"/>
    <w:rsid w:val="00902191"/>
    <w:rsid w:val="00903742"/>
    <w:rsid w:val="00937A29"/>
    <w:rsid w:val="009D25B7"/>
    <w:rsid w:val="00A06530"/>
    <w:rsid w:val="00A7217C"/>
    <w:rsid w:val="00AB22FC"/>
    <w:rsid w:val="00AB6EF2"/>
    <w:rsid w:val="00B26A9D"/>
    <w:rsid w:val="00B37D67"/>
    <w:rsid w:val="00B614AE"/>
    <w:rsid w:val="00C16068"/>
    <w:rsid w:val="00C4240A"/>
    <w:rsid w:val="00C55095"/>
    <w:rsid w:val="00C921DF"/>
    <w:rsid w:val="00CB06D4"/>
    <w:rsid w:val="00D01F88"/>
    <w:rsid w:val="00D02D2F"/>
    <w:rsid w:val="00D32121"/>
    <w:rsid w:val="00D85766"/>
    <w:rsid w:val="00DA79B7"/>
    <w:rsid w:val="00DC337C"/>
    <w:rsid w:val="00E66F6B"/>
    <w:rsid w:val="00E80D81"/>
    <w:rsid w:val="00F00A2A"/>
    <w:rsid w:val="00F15103"/>
    <w:rsid w:val="00F3347E"/>
    <w:rsid w:val="00F458BC"/>
    <w:rsid w:val="00F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40E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CC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3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0CC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30CC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CC6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sid w:val="00706FDF"/>
    <w:rPr>
      <w:rFonts w:cs="Times New Roman"/>
      <w:iCs/>
      <w:color w:val="00A389"/>
    </w:rPr>
  </w:style>
  <w:style w:type="paragraph" w:customStyle="1" w:styleId="Listenabsatz1">
    <w:name w:val="Listenabsatz1"/>
    <w:basedOn w:val="Standard"/>
    <w:rsid w:val="00706FDF"/>
    <w:pPr>
      <w:numPr>
        <w:numId w:val="4"/>
      </w:numPr>
      <w:spacing w:before="40" w:after="40" w:line="240" w:lineRule="auto"/>
    </w:pPr>
    <w:rPr>
      <w:rFonts w:ascii="Arial" w:eastAsia="Times New Roman" w:hAnsi="Arial" w:cs="Times New Roman"/>
      <w:color w:val="000000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70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FDF"/>
  </w:style>
  <w:style w:type="paragraph" w:styleId="Fuzeile">
    <w:name w:val="footer"/>
    <w:basedOn w:val="Standard"/>
    <w:link w:val="FuzeileZchn"/>
    <w:uiPriority w:val="99"/>
    <w:unhideWhenUsed/>
    <w:rsid w:val="0070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A149-88AD-4C63-9D37-F71FE5C3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BC8870E4.dotm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2013-12-31T11:03:00Z</dcterms:created>
  <dcterms:modified xsi:type="dcterms:W3CDTF">2020-04-14T10:10:00Z</dcterms:modified>
</cp:coreProperties>
</file>